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редакции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>: 22.12.2014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Опубликовано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>Информационно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>правовая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система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"</w:t>
      </w:r>
      <w:r>
        <w:rPr>
          <w:rFonts w:ascii="Times New Roman" w:hAnsi="Times New Roman" w:cs="Times New Roman"/>
          <w:color w:val="000000"/>
          <w:sz w:val="18"/>
          <w:szCs w:val="18"/>
        </w:rPr>
        <w:t>Әділет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12.05.2015 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</w:rPr>
        <w:t>.; "</w:t>
      </w:r>
      <w:r>
        <w:rPr>
          <w:rFonts w:ascii="Times New Roman" w:hAnsi="Times New Roman" w:cs="Times New Roman"/>
          <w:color w:val="000000"/>
          <w:sz w:val="18"/>
          <w:szCs w:val="18"/>
        </w:rPr>
        <w:t>Казахстанская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правда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13.08.2015 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153 (28029), 15.08.2015 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</w:rPr>
        <w:t>.(28031));"</w:t>
      </w:r>
      <w:r>
        <w:rPr>
          <w:rFonts w:ascii="Times New Roman" w:hAnsi="Times New Roman" w:cs="Times New Roman"/>
          <w:color w:val="000000"/>
          <w:sz w:val="18"/>
          <w:szCs w:val="18"/>
        </w:rPr>
        <w:t>Егемен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15.08.2015 </w:t>
      </w:r>
      <w:r>
        <w:rPr>
          <w:rFonts w:ascii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155 (28633)</w:t>
      </w:r>
    </w:p>
    <w:p w:rsidR="00000000" w:rsidRDefault="00C237D2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Приказ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культуры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спорта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hAnsi="Times New Roman" w:cs="Times New Roman"/>
          <w:color w:val="000000"/>
          <w:sz w:val="18"/>
          <w:szCs w:val="18"/>
        </w:rPr>
        <w:t>спублики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22 </w:t>
      </w:r>
      <w:r>
        <w:rPr>
          <w:rFonts w:ascii="Times New Roman" w:hAnsi="Times New Roman" w:cs="Times New Roman"/>
          <w:color w:val="000000"/>
          <w:sz w:val="18"/>
          <w:szCs w:val="18"/>
        </w:rPr>
        <w:t>декабря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2014 </w:t>
      </w:r>
      <w:r>
        <w:rPr>
          <w:rFonts w:ascii="Times New Roman" w:hAnsi="Times New Roman" w:cs="Times New Roman"/>
          <w:color w:val="000000"/>
          <w:sz w:val="18"/>
          <w:szCs w:val="18"/>
        </w:rPr>
        <w:t>года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144. </w:t>
      </w:r>
      <w:r>
        <w:rPr>
          <w:rFonts w:ascii="Times New Roman" w:hAnsi="Times New Roman" w:cs="Times New Roman"/>
          <w:color w:val="000000"/>
          <w:sz w:val="18"/>
          <w:szCs w:val="18"/>
        </w:rPr>
        <w:t>Зарегистрирован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Министерстве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юстиции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Республики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23 </w:t>
      </w:r>
      <w:r>
        <w:rPr>
          <w:rFonts w:ascii="Times New Roman" w:hAnsi="Times New Roman" w:cs="Times New Roman"/>
          <w:color w:val="000000"/>
          <w:sz w:val="18"/>
          <w:szCs w:val="18"/>
        </w:rPr>
        <w:t>января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2015 </w:t>
      </w:r>
      <w:r>
        <w:rPr>
          <w:rFonts w:ascii="Times New Roman" w:hAnsi="Times New Roman" w:cs="Times New Roman"/>
          <w:color w:val="000000"/>
          <w:sz w:val="18"/>
          <w:szCs w:val="18"/>
        </w:rPr>
        <w:t>года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10129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Об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утверждении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Типовых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правил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документирования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управления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документацией</w:t>
      </w:r>
      <w:r w:rsidR="004F20B9"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в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государственных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негосударственных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орган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2-2)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архивах»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"/>
      <w:bookmarkEnd w:id="1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</w:t>
      </w:r>
      <w:r>
        <w:rPr>
          <w:rFonts w:ascii="Times New Roman" w:hAnsi="Times New Roman" w:cs="Times New Roman"/>
          <w:sz w:val="24"/>
          <w:szCs w:val="24"/>
        </w:rPr>
        <w:t>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Типовые правила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2"/>
      <w:bookmarkEnd w:id="2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Департаменту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>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«Әділет»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3"/>
      <w:bookmarkEnd w:id="3"/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вице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" w:name="4"/>
      <w:bookmarkEnd w:id="4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z w:val="24"/>
          <w:szCs w:val="24"/>
        </w:rPr>
        <w:t>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00000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Мухамедиулы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66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66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" w:name="5"/>
      <w:bookmarkEnd w:id="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Типовые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документаци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организациях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6" w:name="6"/>
      <w:bookmarkEnd w:id="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положения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2-2)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архивах»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" w:name="8"/>
      <w:bookmarkEnd w:id="8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документирован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9"/>
      <w:bookmarkEnd w:id="9"/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объемом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"/>
      <w:bookmarkEnd w:id="10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</w:t>
      </w:r>
      <w:r>
        <w:rPr>
          <w:rFonts w:ascii="Times New Roman" w:hAnsi="Times New Roman" w:cs="Times New Roman"/>
          <w:sz w:val="24"/>
          <w:szCs w:val="24"/>
        </w:rPr>
        <w:t>ктурным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>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1"/>
      <w:bookmarkEnd w:id="11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</w:t>
      </w:r>
      <w:r>
        <w:rPr>
          <w:rFonts w:ascii="Times New Roman" w:hAnsi="Times New Roman" w:cs="Times New Roman"/>
          <w:sz w:val="24"/>
          <w:szCs w:val="24"/>
        </w:rPr>
        <w:t>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2"/>
      <w:bookmarkEnd w:id="12"/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3" w:name="13"/>
      <w:bookmarkEnd w:id="1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4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</w:t>
      </w:r>
      <w:r>
        <w:rPr>
          <w:rFonts w:ascii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15"/>
      <w:bookmarkEnd w:id="15"/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аутентичный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16"/>
      <w:bookmarkEnd w:id="16"/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7"/>
      <w:bookmarkEnd w:id="17"/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Субъекты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 (210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297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5 (148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офиц</w:t>
      </w:r>
      <w:r>
        <w:rPr>
          <w:rFonts w:ascii="Times New Roman" w:hAnsi="Times New Roman" w:cs="Times New Roman"/>
          <w:sz w:val="24"/>
          <w:szCs w:val="24"/>
        </w:rPr>
        <w:t>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издавшей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отти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8"/>
      <w:bookmarkEnd w:id="18"/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Субъекты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9"/>
      <w:bookmarkEnd w:id="19"/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</w:t>
      </w:r>
      <w:r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левое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верхнее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левое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правое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верхнее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" w:name="20"/>
      <w:bookmarkEnd w:id="20"/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1"/>
      <w:bookmarkEnd w:id="21"/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типографским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собом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22"/>
      <w:bookmarkEnd w:id="22"/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типографским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23"/>
      <w:bookmarkEnd w:id="23"/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24"/>
      <w:bookmarkEnd w:id="24"/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5" w:name="25"/>
      <w:bookmarkEnd w:id="2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реквизитов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</w:t>
      </w:r>
      <w:r>
        <w:rPr>
          <w:rFonts w:ascii="Times New Roman" w:hAnsi="Times New Roman" w:cs="Times New Roman"/>
          <w:sz w:val="24"/>
          <w:szCs w:val="24"/>
        </w:rPr>
        <w:t>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" w:name="27"/>
      <w:bookmarkEnd w:id="26"/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Эмблема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воспроизво</w:t>
      </w:r>
      <w:r>
        <w:rPr>
          <w:rFonts w:ascii="Times New Roman" w:hAnsi="Times New Roman" w:cs="Times New Roman"/>
          <w:sz w:val="24"/>
          <w:szCs w:val="24"/>
        </w:rPr>
        <w:t>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" w:name="28"/>
      <w:bookmarkEnd w:id="27"/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правовую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скобках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" w:name="29"/>
      <w:bookmarkEnd w:id="28"/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телефаксов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" w:name="30"/>
      <w:bookmarkEnd w:id="29"/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" w:name="31"/>
      <w:bookmarkEnd w:id="30"/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Датой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зафиксированного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ознакомлением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разделенными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четырьмя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протоколах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" w:name="32"/>
      <w:bookmarkEnd w:id="31"/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" w:name="33"/>
      <w:bookmarkEnd w:id="32"/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3" w:name="34"/>
      <w:bookmarkEnd w:id="33"/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4" w:name="35"/>
      <w:bookmarkEnd w:id="34"/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5" w:name="36"/>
      <w:bookmarkEnd w:id="35"/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«Копия»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четвертым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</w:t>
      </w:r>
      <w:r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«Адресат»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подпунктом 20-5)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37"/>
      <w:bookmarkEnd w:id="36"/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кавычек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расшифровки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«Утвержден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7" w:name="38"/>
      <w:bookmarkEnd w:id="37"/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Резолюция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предписываемых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фишке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ложившего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исходящий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регистрируют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39"/>
      <w:bookmarkEnd w:id="38"/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стиции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</w:t>
      </w:r>
      <w:r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«чего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«кого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9" w:name="40"/>
      <w:bookmarkEnd w:id="39"/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</w:t>
      </w:r>
      <w:r>
        <w:rPr>
          <w:rFonts w:ascii="Times New Roman" w:hAnsi="Times New Roman" w:cs="Times New Roman"/>
          <w:sz w:val="24"/>
          <w:szCs w:val="24"/>
        </w:rPr>
        <w:t>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«Бақылау»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«Бақылауға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0" w:name="41"/>
      <w:bookmarkEnd w:id="40"/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диаграммы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</w:t>
      </w:r>
      <w:r>
        <w:rPr>
          <w:rFonts w:ascii="Times New Roman" w:hAnsi="Times New Roman" w:cs="Times New Roman"/>
          <w:sz w:val="24"/>
          <w:szCs w:val="24"/>
        </w:rPr>
        <w:t>твительным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словосочетанием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имеете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находились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выраженные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вертикальный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горизонтальный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заголовки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падеже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Подзаголовки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заголовками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z w:val="24"/>
          <w:szCs w:val="24"/>
        </w:rPr>
        <w:t>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нумеруются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Близкие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параграфы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подразделы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выделяемые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выделяемая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отступом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параграфы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подразделы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– 1., 2., 3.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– 1), 2), 3)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сквозной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</w:t>
      </w:r>
      <w:r>
        <w:rPr>
          <w:rFonts w:ascii="Times New Roman" w:hAnsi="Times New Roman" w:cs="Times New Roman"/>
          <w:sz w:val="24"/>
          <w:szCs w:val="24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параграфов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межстрочных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размером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шрифта</w:t>
      </w:r>
      <w:r>
        <w:rPr>
          <w:rFonts w:ascii="Times New Roman" w:hAnsi="Times New Roman" w:cs="Times New Roman"/>
          <w:sz w:val="24"/>
          <w:szCs w:val="24"/>
        </w:rPr>
        <w:t xml:space="preserve"> Times New Roman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межстрочный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межстрочного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</w:t>
      </w:r>
      <w:r>
        <w:rPr>
          <w:rFonts w:ascii="Times New Roman" w:hAnsi="Times New Roman" w:cs="Times New Roman"/>
          <w:sz w:val="24"/>
          <w:szCs w:val="24"/>
        </w:rPr>
        <w:t>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1" w:name="42"/>
      <w:bookmarkEnd w:id="41"/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экземпляре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«Приложения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15.10.2014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3-5/151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экземпляре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сброшюрованы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</w:t>
      </w:r>
      <w:r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3-5/151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«Приложение»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2" w:name="43"/>
      <w:bookmarkEnd w:id="42"/>
      <w:r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личную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иси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инициал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светостойкими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факсимиле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коллегий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маслихатов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оперативных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совещаний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заготовлена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сутствует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полужирным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3" w:name="44"/>
      <w:bookmarkEnd w:id="43"/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внутреннее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совещательными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визирующего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расшифровку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инициал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визирующего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«Согласован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кавычек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4" w:name="45"/>
      <w:bookmarkEnd w:id="44"/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Оттиск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Оттиск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захватывал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5" w:name="46"/>
      <w:bookmarkEnd w:id="45"/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«Подпись»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ерительная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кавычек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заверившего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оттиск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6" w:name="47"/>
      <w:bookmarkEnd w:id="46"/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инициал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7" w:name="48"/>
      <w:bookmarkEnd w:id="47"/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свидетельствующую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краткие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8" w:name="49"/>
      <w:bookmarkEnd w:id="48"/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>нтификатором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колонтитул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содержащая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проставляемая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9" w:name="50"/>
      <w:bookmarkEnd w:id="49"/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0" w:name="51"/>
      <w:bookmarkEnd w:id="50"/>
      <w:r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1" w:name="52"/>
      <w:bookmarkEnd w:id="5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приказов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53"/>
      <w:bookmarkEnd w:id="52"/>
      <w:r>
        <w:rPr>
          <w:rFonts w:ascii="Times New Roman" w:hAnsi="Times New Roman" w:cs="Times New Roman"/>
          <w:sz w:val="24"/>
          <w:szCs w:val="24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>Приказами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организационным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кадровым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совмещение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увольнение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награждения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взысканий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премиро</w:t>
      </w:r>
      <w:r>
        <w:rPr>
          <w:rFonts w:ascii="Times New Roman" w:hAnsi="Times New Roman" w:cs="Times New Roman"/>
          <w:sz w:val="24"/>
          <w:szCs w:val="24"/>
        </w:rPr>
        <w:t>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дежурства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оттиск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докладные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записки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визир</w:t>
      </w:r>
      <w:r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внесшим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</w:t>
      </w:r>
      <w:r>
        <w:rPr>
          <w:rFonts w:ascii="Times New Roman" w:hAnsi="Times New Roman" w:cs="Times New Roman"/>
          <w:sz w:val="24"/>
          <w:szCs w:val="24"/>
        </w:rPr>
        <w:t>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дораб</w:t>
      </w:r>
      <w:r>
        <w:rPr>
          <w:rFonts w:ascii="Times New Roman" w:hAnsi="Times New Roman" w:cs="Times New Roman"/>
          <w:sz w:val="24"/>
          <w:szCs w:val="24"/>
        </w:rPr>
        <w:t>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размноженные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констатирующей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преамбулы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констатирующей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преамбуле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кратко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послужившие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констатирующей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«ПРИКАЗЫВАЮ»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пишется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прописными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полужирным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предписываемых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Распорядительная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3" w:name="54"/>
      <w:bookmarkEnd w:id="5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протокола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57"/>
      <w:bookmarkEnd w:id="54"/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произведенных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выходящи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</w:t>
      </w:r>
      <w:r>
        <w:rPr>
          <w:rFonts w:ascii="Times New Roman" w:hAnsi="Times New Roman" w:cs="Times New Roman"/>
          <w:sz w:val="24"/>
          <w:szCs w:val="24"/>
        </w:rPr>
        <w:t>окола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председательствующего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присутствовавших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совещательного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>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«Об»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«Повестка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естки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пишутся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прописными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полужирным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шрифтом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сноска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прилагается»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прозвучали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докладчику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выступающим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«Вопрос»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«Ответ»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«Об»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центровано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нятое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дседательствующим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присваиваются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</w:t>
      </w:r>
      <w:r>
        <w:rPr>
          <w:rFonts w:ascii="Times New Roman" w:hAnsi="Times New Roman" w:cs="Times New Roman"/>
          <w:sz w:val="24"/>
          <w:szCs w:val="24"/>
        </w:rPr>
        <w:t>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готовившего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5" w:name="55"/>
      <w:bookmarkEnd w:id="5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6" w:name="56"/>
      <w:bookmarkEnd w:id="56"/>
      <w:r>
        <w:rPr>
          <w:rFonts w:ascii="Times New Roman" w:hAnsi="Times New Roman" w:cs="Times New Roman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>Соде</w:t>
      </w:r>
      <w:r>
        <w:rPr>
          <w:rFonts w:ascii="Times New Roman" w:hAnsi="Times New Roman" w:cs="Times New Roman"/>
          <w:sz w:val="24"/>
          <w:szCs w:val="24"/>
        </w:rPr>
        <w:t>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приемки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образцов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конкретизирующие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сверки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констатирующая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присутствующие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констатирующей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излагаются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составившим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несогласное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оговоркой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7" w:name="102"/>
      <w:bookmarkEnd w:id="5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справки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8" w:name="103"/>
      <w:bookmarkEnd w:id="58"/>
      <w:r>
        <w:rPr>
          <w:rFonts w:ascii="Times New Roman" w:hAnsi="Times New Roman" w:cs="Times New Roman"/>
          <w:sz w:val="24"/>
          <w:szCs w:val="24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>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служивания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наименован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оттиск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пояснения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начинатьс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«насто</w:t>
      </w:r>
      <w:r>
        <w:rPr>
          <w:rFonts w:ascii="Times New Roman" w:hAnsi="Times New Roman" w:cs="Times New Roman"/>
          <w:sz w:val="24"/>
          <w:szCs w:val="24"/>
        </w:rPr>
        <w:t>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учится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9" w:name="104"/>
      <w:bookmarkEnd w:id="5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письма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0" w:name="105"/>
      <w:bookmarkEnd w:id="60"/>
      <w:r>
        <w:rPr>
          <w:rFonts w:ascii="Times New Roman" w:hAnsi="Times New Roman" w:cs="Times New Roman"/>
          <w:sz w:val="24"/>
          <w:szCs w:val="24"/>
        </w:rPr>
        <w:t xml:space="preserve">48. </w:t>
      </w:r>
      <w:r>
        <w:rPr>
          <w:rFonts w:ascii="Times New Roman" w:hAnsi="Times New Roman" w:cs="Times New Roman"/>
          <w:sz w:val="24"/>
          <w:szCs w:val="24"/>
        </w:rPr>
        <w:t>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претензии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рекламации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напоминания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просьбы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оферта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</w:t>
      </w:r>
      <w:r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исходящий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поступившего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«подпись»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</w:t>
      </w:r>
      <w:r>
        <w:rPr>
          <w:rFonts w:ascii="Times New Roman" w:hAnsi="Times New Roman" w:cs="Times New Roman"/>
          <w:sz w:val="24"/>
          <w:szCs w:val="24"/>
        </w:rPr>
        <w:t>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</w:t>
      </w:r>
      <w:r>
        <w:rPr>
          <w:rFonts w:ascii="Times New Roman" w:hAnsi="Times New Roman" w:cs="Times New Roman"/>
          <w:sz w:val="24"/>
          <w:szCs w:val="24"/>
        </w:rPr>
        <w:t>чений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ысловые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напоминание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преамбулы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констатирующей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заключительной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начинающейся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просьбы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констатаци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отказах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«просим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«направляем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выслать»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«считаю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1" w:name="106"/>
      <w:bookmarkEnd w:id="6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документацией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документооборота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2" w:name="107"/>
      <w:bookmarkEnd w:id="62"/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отпр</w:t>
      </w:r>
      <w:r>
        <w:rPr>
          <w:rFonts w:ascii="Times New Roman" w:hAnsi="Times New Roman" w:cs="Times New Roman"/>
          <w:sz w:val="24"/>
          <w:szCs w:val="24"/>
        </w:rPr>
        <w:t>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документооборот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3" w:name="108"/>
      <w:bookmarkEnd w:id="6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обработки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входящих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4" w:name="110"/>
      <w:bookmarkEnd w:id="64"/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5" w:name="109"/>
      <w:bookmarkEnd w:id="65"/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первичная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6" w:name="111"/>
      <w:bookmarkEnd w:id="66"/>
      <w:r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>Первичная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фиксации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вскрываются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целостность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упаковки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некомплектность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«Лично»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Ошибочно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регистрируемых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7" w:name="112"/>
      <w:bookmarkEnd w:id="67"/>
      <w:r>
        <w:rPr>
          <w:rFonts w:ascii="Times New Roman" w:hAnsi="Times New Roman" w:cs="Times New Roman"/>
          <w:sz w:val="24"/>
          <w:szCs w:val="24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</w:t>
      </w:r>
      <w:r>
        <w:rPr>
          <w:rFonts w:ascii="Times New Roman" w:hAnsi="Times New Roman" w:cs="Times New Roman"/>
          <w:sz w:val="24"/>
          <w:szCs w:val="24"/>
        </w:rPr>
        <w:t>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8" w:name="113"/>
      <w:bookmarkEnd w:id="68"/>
      <w:r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>Предварительное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9" w:name="114"/>
      <w:bookmarkEnd w:id="69"/>
      <w:r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>Обязат</w:t>
      </w:r>
      <w:r>
        <w:rPr>
          <w:rFonts w:ascii="Times New Roman" w:hAnsi="Times New Roman" w:cs="Times New Roman"/>
          <w:sz w:val="24"/>
          <w:szCs w:val="24"/>
        </w:rPr>
        <w:t>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вышестояще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0" w:name="115"/>
      <w:bookmarkEnd w:id="70"/>
      <w:r>
        <w:rPr>
          <w:rFonts w:ascii="Times New Roman" w:hAnsi="Times New Roman" w:cs="Times New Roman"/>
          <w:sz w:val="24"/>
          <w:szCs w:val="24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1" w:name="116"/>
      <w:bookmarkEnd w:id="71"/>
      <w:r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буквенного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«ФЛ»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«ЮЛ»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анонимного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2" w:name="117"/>
      <w:bookmarkEnd w:id="72"/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«второе»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«третье»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«Повторно»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несвоевременном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допущенные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3" w:name="118"/>
      <w:bookmarkEnd w:id="73"/>
      <w:r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дробь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119"/>
      <w:bookmarkEnd w:id="74"/>
      <w:r>
        <w:rPr>
          <w:rFonts w:ascii="Times New Roman" w:hAnsi="Times New Roman" w:cs="Times New Roman"/>
          <w:sz w:val="24"/>
          <w:szCs w:val="24"/>
        </w:rPr>
        <w:t xml:space="preserve">61.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</w:t>
      </w:r>
      <w:r>
        <w:rPr>
          <w:rFonts w:ascii="Times New Roman" w:hAnsi="Times New Roman" w:cs="Times New Roman"/>
          <w:sz w:val="24"/>
          <w:szCs w:val="24"/>
        </w:rPr>
        <w:t>арительном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сортировка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нерегистрируемые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нерегистрируемых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Нерегистрируемые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5" w:name="120"/>
      <w:bookmarkEnd w:id="75"/>
      <w:r>
        <w:rPr>
          <w:rFonts w:ascii="Times New Roman" w:hAnsi="Times New Roman" w:cs="Times New Roman"/>
          <w:sz w:val="24"/>
          <w:szCs w:val="24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>Регистриру</w:t>
      </w:r>
      <w:r>
        <w:rPr>
          <w:rFonts w:ascii="Times New Roman" w:hAnsi="Times New Roman" w:cs="Times New Roman"/>
          <w:sz w:val="24"/>
          <w:szCs w:val="24"/>
        </w:rPr>
        <w:t>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безотлагательного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6" w:name="121"/>
      <w:bookmarkEnd w:id="76"/>
      <w:r>
        <w:rPr>
          <w:rFonts w:ascii="Times New Roman" w:hAnsi="Times New Roman" w:cs="Times New Roman"/>
          <w:sz w:val="24"/>
          <w:szCs w:val="24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Подлинник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фонограммы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отправитель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</w:t>
      </w:r>
      <w:r>
        <w:rPr>
          <w:rFonts w:ascii="Times New Roman" w:hAnsi="Times New Roman" w:cs="Times New Roman"/>
          <w:sz w:val="24"/>
          <w:szCs w:val="24"/>
        </w:rPr>
        <w:t>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инициал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телефонограмму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7" w:name="122"/>
      <w:bookmarkEnd w:id="77"/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8" w:name="123"/>
      <w:bookmarkEnd w:id="7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обработки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исходящих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9" w:name="124"/>
      <w:bookmarkEnd w:id="79"/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0" w:name="125"/>
      <w:bookmarkEnd w:id="80"/>
      <w:r>
        <w:rPr>
          <w:rFonts w:ascii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>Подписанные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адресатам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телефаксы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1" w:name="126"/>
      <w:bookmarkEnd w:id="81"/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2" w:name="127"/>
      <w:bookmarkEnd w:id="8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прохождения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внутренних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3" w:name="128"/>
      <w:bookmarkEnd w:id="83"/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4" w:name="129"/>
      <w:bookmarkEnd w:id="84"/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отложившиеся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наоборот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финансируемыми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5" w:name="130"/>
      <w:bookmarkEnd w:id="85"/>
      <w:r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>Оригиналы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6" w:name="131"/>
      <w:bookmarkEnd w:id="86"/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hAnsi="Times New Roman" w:cs="Times New Roman"/>
          <w:sz w:val="24"/>
          <w:szCs w:val="24"/>
        </w:rPr>
        <w:t>Размноженные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7" w:name="132"/>
      <w:bookmarkEnd w:id="8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8" w:name="133"/>
      <w:bookmarkEnd w:id="88"/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9" w:name="134"/>
      <w:bookmarkEnd w:id="89"/>
      <w:r>
        <w:rPr>
          <w:rFonts w:ascii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централизовано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децентрализованная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0" w:name="135"/>
      <w:bookmarkEnd w:id="90"/>
      <w:r>
        <w:rPr>
          <w:rFonts w:ascii="Times New Roman" w:hAnsi="Times New Roman" w:cs="Times New Roman"/>
          <w:sz w:val="24"/>
          <w:szCs w:val="24"/>
        </w:rPr>
        <w:t xml:space="preserve">74.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входящие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исходящие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незавершенные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ставляется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1" w:name="136"/>
      <w:bookmarkEnd w:id="91"/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" w:name="137"/>
      <w:bookmarkEnd w:id="92"/>
      <w:r>
        <w:rPr>
          <w:rFonts w:ascii="Times New Roman" w:hAnsi="Times New Roman" w:cs="Times New Roman"/>
          <w:sz w:val="24"/>
          <w:szCs w:val="24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карточка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3" w:name="138"/>
      <w:bookmarkEnd w:id="93"/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наиме</w:t>
      </w:r>
      <w:r>
        <w:rPr>
          <w:rFonts w:ascii="Times New Roman" w:hAnsi="Times New Roman" w:cs="Times New Roman"/>
          <w:sz w:val="24"/>
          <w:szCs w:val="24"/>
        </w:rPr>
        <w:t>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резолюция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дополнятьс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4" w:name="139"/>
      <w:bookmarkEnd w:id="94"/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поисковую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>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5" w:name="140"/>
      <w:bookmarkEnd w:id="95"/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контрольные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кодификационные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</w:t>
      </w:r>
      <w:r>
        <w:rPr>
          <w:rFonts w:ascii="Times New Roman" w:hAnsi="Times New Roman" w:cs="Times New Roman"/>
          <w:sz w:val="24"/>
          <w:szCs w:val="24"/>
        </w:rPr>
        <w:t>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6" w:name="141"/>
      <w:bookmarkEnd w:id="96"/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поисковой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классификатор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классификатор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классификатор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7" w:name="142"/>
      <w:bookmarkEnd w:id="97"/>
      <w:r>
        <w:rPr>
          <w:rFonts w:ascii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поисковой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8" w:name="143"/>
      <w:bookmarkEnd w:id="9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144"/>
      <w:bookmarkEnd w:id="99"/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приложениям 12</w:t>
        </w:r>
      </w:hyperlink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145"/>
      <w:bookmarkEnd w:id="100"/>
      <w:r>
        <w:rPr>
          <w:rFonts w:ascii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146"/>
      <w:bookmarkEnd w:id="101"/>
      <w:r>
        <w:rPr>
          <w:rFonts w:ascii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срочный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срочно»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«срочно»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«у</w:t>
      </w:r>
      <w:r>
        <w:rPr>
          <w:rFonts w:ascii="Times New Roman" w:hAnsi="Times New Roman" w:cs="Times New Roman"/>
          <w:sz w:val="24"/>
          <w:szCs w:val="24"/>
        </w:rPr>
        <w:t>скорить»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краткосрочный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среднесрочный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долгосрочный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147"/>
      <w:bookmarkEnd w:id="102"/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срочно»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«срочно»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«ускорить»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краткосрочный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среднесрочный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долгосрочный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</w:t>
      </w:r>
      <w:r>
        <w:rPr>
          <w:rFonts w:ascii="Times New Roman" w:hAnsi="Times New Roman" w:cs="Times New Roman"/>
          <w:sz w:val="24"/>
          <w:szCs w:val="24"/>
        </w:rPr>
        <w:t>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20-</w:t>
      </w:r>
      <w:r>
        <w:rPr>
          <w:rFonts w:ascii="Times New Roman" w:hAnsi="Times New Roman" w:cs="Times New Roman"/>
          <w:sz w:val="24"/>
          <w:szCs w:val="24"/>
        </w:rPr>
        <w:t>дневного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истечен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148"/>
      <w:bookmarkEnd w:id="103"/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исчисляются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совещания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совещании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совещании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приступают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совещания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дожидаясь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совещания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149"/>
      <w:bookmarkEnd w:id="104"/>
      <w:r>
        <w:rPr>
          <w:rFonts w:ascii="Times New Roman" w:hAnsi="Times New Roman" w:cs="Times New Roman"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150"/>
      <w:bookmarkEnd w:id="105"/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РКК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151"/>
      <w:bookmarkEnd w:id="106"/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поставившим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7" w:name="152"/>
      <w:bookmarkEnd w:id="10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учета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хранения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печатей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штампов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бланков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</w:t>
      </w:r>
      <w:r>
        <w:rPr>
          <w:rFonts w:ascii="Times New Roman" w:hAnsi="Times New Roman" w:cs="Times New Roman"/>
          <w:sz w:val="24"/>
          <w:szCs w:val="24"/>
        </w:rPr>
        <w:t>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назначаемыми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распоряжениями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153"/>
      <w:bookmarkEnd w:id="108"/>
      <w:r>
        <w:rPr>
          <w:rFonts w:ascii="Times New Roman" w:hAnsi="Times New Roman" w:cs="Times New Roman"/>
          <w:sz w:val="24"/>
          <w:szCs w:val="24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штампы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символами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154"/>
      <w:bookmarkEnd w:id="109"/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155"/>
      <w:bookmarkEnd w:id="110"/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156"/>
      <w:bookmarkEnd w:id="111"/>
      <w:r>
        <w:rPr>
          <w:rFonts w:ascii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157"/>
      <w:bookmarkEnd w:id="112"/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рассылки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158"/>
      <w:bookmarkEnd w:id="113"/>
      <w:r>
        <w:rPr>
          <w:rFonts w:ascii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hAnsi="Times New Roman" w:cs="Times New Roman"/>
          <w:sz w:val="24"/>
          <w:szCs w:val="24"/>
        </w:rPr>
        <w:t>Размножение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159"/>
      <w:bookmarkEnd w:id="114"/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подделки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>мпов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160"/>
      <w:bookmarkEnd w:id="115"/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перьевых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ручек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перьевых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авторучек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16</w:t>
        </w:r>
      </w:hyperlink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161"/>
      <w:bookmarkEnd w:id="116"/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прошива</w:t>
      </w:r>
      <w:r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опечатываются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162"/>
      <w:bookmarkEnd w:id="117"/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неиспользованной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163"/>
      <w:bookmarkEnd w:id="118"/>
      <w:r>
        <w:rPr>
          <w:rFonts w:ascii="Times New Roman" w:hAnsi="Times New Roman" w:cs="Times New Roman"/>
          <w:sz w:val="24"/>
          <w:szCs w:val="24"/>
        </w:rPr>
        <w:t xml:space="preserve">101.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опечатываемых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сейфах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шкафах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164"/>
      <w:bookmarkEnd w:id="119"/>
      <w:r>
        <w:rPr>
          <w:rFonts w:ascii="Times New Roman" w:hAnsi="Times New Roman" w:cs="Times New Roman"/>
          <w:sz w:val="24"/>
          <w:szCs w:val="24"/>
        </w:rPr>
        <w:t xml:space="preserve">102.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испорченной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испорченных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165"/>
      <w:bookmarkEnd w:id="120"/>
      <w:r>
        <w:rPr>
          <w:rFonts w:ascii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штампов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штемпельной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166"/>
      <w:bookmarkEnd w:id="121"/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емкостей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испорченные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подушки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перьевые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авторучки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чернилами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" w:name="167"/>
      <w:bookmarkEnd w:id="122"/>
      <w:r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неиспользованной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приложениям 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</w:t>
      </w:r>
      <w:r>
        <w:rPr>
          <w:rFonts w:ascii="Times New Roman" w:hAnsi="Times New Roman" w:cs="Times New Roman"/>
          <w:sz w:val="24"/>
          <w:szCs w:val="24"/>
        </w:rPr>
        <w:t>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168"/>
      <w:bookmarkEnd w:id="123"/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" w:name="169"/>
      <w:bookmarkEnd w:id="124"/>
      <w:r>
        <w:rPr>
          <w:rFonts w:ascii="Times New Roman" w:hAnsi="Times New Roman" w:cs="Times New Roman"/>
          <w:sz w:val="24"/>
          <w:szCs w:val="24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приложениям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170"/>
      <w:bookmarkEnd w:id="125"/>
      <w:r>
        <w:rPr>
          <w:rFonts w:ascii="Times New Roman" w:hAnsi="Times New Roman" w:cs="Times New Roman"/>
          <w:sz w:val="24"/>
          <w:szCs w:val="24"/>
        </w:rPr>
        <w:t xml:space="preserve">108.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штампа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розыску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розыска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6" w:name="171"/>
      <w:bookmarkEnd w:id="12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составления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номенклат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уры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формирования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хранения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172"/>
      <w:bookmarkEnd w:id="127"/>
      <w:r>
        <w:rPr>
          <w:rFonts w:ascii="Times New Roman" w:hAnsi="Times New Roman" w:cs="Times New Roman"/>
          <w:sz w:val="24"/>
          <w:szCs w:val="24"/>
        </w:rPr>
        <w:t xml:space="preserve">109.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173"/>
      <w:bookmarkEnd w:id="128"/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174"/>
      <w:bookmarkEnd w:id="129"/>
      <w:r>
        <w:rPr>
          <w:rFonts w:ascii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175"/>
      <w:bookmarkEnd w:id="130"/>
      <w:r>
        <w:rPr>
          <w:rFonts w:ascii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типовыми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отраслевыми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ведомственными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перечнями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типовыми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примерными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номенклатурами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структурой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изучаются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1" w:name="176"/>
      <w:bookmarkEnd w:id="131"/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номенклатур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177"/>
      <w:bookmarkEnd w:id="132"/>
      <w:r>
        <w:rPr>
          <w:rFonts w:ascii="Times New Roman" w:hAnsi="Times New Roman" w:cs="Times New Roman"/>
          <w:sz w:val="24"/>
          <w:szCs w:val="24"/>
        </w:rPr>
        <w:t xml:space="preserve">114. </w:t>
      </w:r>
      <w:r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178"/>
      <w:bookmarkEnd w:id="133"/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ЭПК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номенклатура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концептуальных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179"/>
      <w:bookmarkEnd w:id="134"/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180"/>
      <w:bookmarkEnd w:id="135"/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181"/>
      <w:bookmarkEnd w:id="136"/>
      <w:r>
        <w:rPr>
          <w:rFonts w:ascii="Times New Roman" w:hAnsi="Times New Roman" w:cs="Times New Roman"/>
          <w:sz w:val="24"/>
          <w:szCs w:val="24"/>
        </w:rPr>
        <w:t xml:space="preserve">118. </w:t>
      </w:r>
      <w:r>
        <w:rPr>
          <w:rFonts w:ascii="Times New Roman" w:hAnsi="Times New Roman" w:cs="Times New Roman"/>
          <w:sz w:val="24"/>
          <w:szCs w:val="24"/>
        </w:rPr>
        <w:t>Названиями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штат</w:t>
      </w:r>
      <w:r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совещательных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возглавляемых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182"/>
      <w:bookmarkEnd w:id="137"/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>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183"/>
      <w:bookmarkEnd w:id="138"/>
      <w:r>
        <w:rPr>
          <w:rFonts w:ascii="Times New Roman" w:hAnsi="Times New Roman" w:cs="Times New Roman"/>
          <w:sz w:val="24"/>
          <w:szCs w:val="24"/>
        </w:rPr>
        <w:t xml:space="preserve">120.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отраслевой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184"/>
      <w:bookmarkEnd w:id="139"/>
      <w:r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вышестоящей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40" w:name="185"/>
      <w:bookmarkEnd w:id="14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 xml:space="preserve">17.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номенклатуры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186"/>
      <w:bookmarkEnd w:id="141"/>
      <w:r>
        <w:rPr>
          <w:rFonts w:ascii="Times New Roman" w:hAnsi="Times New Roman" w:cs="Times New Roman"/>
          <w:sz w:val="24"/>
          <w:szCs w:val="24"/>
        </w:rPr>
        <w:t xml:space="preserve">122.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РКФ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справочные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187"/>
      <w:bookmarkEnd w:id="142"/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188"/>
      <w:bookmarkEnd w:id="143"/>
      <w:r>
        <w:rPr>
          <w:rFonts w:ascii="Times New Roman" w:hAnsi="Times New Roman" w:cs="Times New Roman"/>
          <w:sz w:val="24"/>
          <w:szCs w:val="24"/>
        </w:rPr>
        <w:t xml:space="preserve">124.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графу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«исходящая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«входящие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переписка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«Документы»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«документы»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«Протокол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мпании»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перечисляются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</w:t>
      </w:r>
      <w:r>
        <w:rPr>
          <w:rFonts w:ascii="Times New Roman" w:hAnsi="Times New Roman" w:cs="Times New Roman"/>
          <w:sz w:val="24"/>
          <w:szCs w:val="24"/>
        </w:rPr>
        <w:t>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арбитражных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начинаются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«Дело»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уточняющие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189"/>
      <w:bookmarkEnd w:id="144"/>
      <w:r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взаимосвязью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</w:t>
      </w:r>
      <w:r>
        <w:rPr>
          <w:rFonts w:ascii="Times New Roman" w:hAnsi="Times New Roman" w:cs="Times New Roman"/>
          <w:sz w:val="24"/>
          <w:szCs w:val="24"/>
        </w:rPr>
        <w:t>мативную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190"/>
      <w:bookmarkEnd w:id="145"/>
      <w:r>
        <w:rPr>
          <w:rFonts w:ascii="Times New Roman" w:hAnsi="Times New Roman" w:cs="Times New Roman"/>
          <w:sz w:val="24"/>
          <w:szCs w:val="24"/>
        </w:rPr>
        <w:t xml:space="preserve">126. </w:t>
      </w:r>
      <w:r>
        <w:rPr>
          <w:rFonts w:ascii="Times New Roman" w:hAnsi="Times New Roman" w:cs="Times New Roman"/>
          <w:sz w:val="24"/>
          <w:szCs w:val="24"/>
        </w:rPr>
        <w:t>Графа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191"/>
      <w:bookmarkEnd w:id="146"/>
      <w:r>
        <w:rPr>
          <w:rFonts w:ascii="Times New Roman" w:hAnsi="Times New Roman" w:cs="Times New Roman"/>
          <w:sz w:val="24"/>
          <w:szCs w:val="24"/>
        </w:rPr>
        <w:t xml:space="preserve">127.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графе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статей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типового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отраслевого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типовую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примерную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номенклатуру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192"/>
      <w:bookmarkEnd w:id="147"/>
      <w:r>
        <w:rPr>
          <w:rFonts w:ascii="Times New Roman" w:hAnsi="Times New Roman" w:cs="Times New Roman"/>
          <w:sz w:val="24"/>
          <w:szCs w:val="24"/>
        </w:rPr>
        <w:t xml:space="preserve">128.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графе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типовой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193"/>
      <w:bookmarkEnd w:id="148"/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заголовков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томов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49" w:name="194"/>
      <w:bookmarkEnd w:id="14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формирования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195"/>
      <w:bookmarkEnd w:id="150"/>
      <w:r>
        <w:rPr>
          <w:rFonts w:ascii="Times New Roman" w:hAnsi="Times New Roman" w:cs="Times New Roman"/>
          <w:sz w:val="24"/>
          <w:szCs w:val="24"/>
        </w:rPr>
        <w:t xml:space="preserve">130. </w:t>
      </w:r>
      <w:r>
        <w:rPr>
          <w:rFonts w:ascii="Times New Roman" w:hAnsi="Times New Roman" w:cs="Times New Roman"/>
          <w:sz w:val="24"/>
          <w:szCs w:val="24"/>
        </w:rPr>
        <w:t>Исполненные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196"/>
      <w:bookmarkEnd w:id="151"/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197"/>
      <w:bookmarkEnd w:id="152"/>
      <w:r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относящиеся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присоединяются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>группируются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переходя</w:t>
      </w:r>
      <w:r>
        <w:rPr>
          <w:rFonts w:ascii="Times New Roman" w:hAnsi="Times New Roman" w:cs="Times New Roman"/>
          <w:sz w:val="24"/>
          <w:szCs w:val="24"/>
        </w:rPr>
        <w:t>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судебные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депутатских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сезон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раздельно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телеграммы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ксерок</w:t>
      </w:r>
      <w:r>
        <w:rPr>
          <w:rFonts w:ascii="Times New Roman" w:hAnsi="Times New Roman" w:cs="Times New Roman"/>
          <w:sz w:val="24"/>
          <w:szCs w:val="24"/>
        </w:rPr>
        <w:t>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факсограмм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черновики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добавляется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«последний»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«последняя»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198"/>
      <w:bookmarkEnd w:id="153"/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хронологическом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освещающие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199"/>
      <w:bookmarkEnd w:id="154"/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подшиваются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200"/>
      <w:bookmarkEnd w:id="155"/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201"/>
      <w:bookmarkEnd w:id="156"/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распо</w:t>
      </w:r>
      <w:r>
        <w:rPr>
          <w:rFonts w:ascii="Times New Roman" w:hAnsi="Times New Roman" w:cs="Times New Roman"/>
          <w:sz w:val="24"/>
          <w:szCs w:val="24"/>
        </w:rPr>
        <w:t>ряжения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7" w:name="202"/>
      <w:bookmarkEnd w:id="157"/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хронологическом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203"/>
      <w:bookmarkEnd w:id="158"/>
      <w:r>
        <w:rPr>
          <w:rFonts w:ascii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>Переписка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группируется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возобновлении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</w:t>
      </w:r>
      <w:r>
        <w:rPr>
          <w:rFonts w:ascii="Times New Roman" w:hAnsi="Times New Roman" w:cs="Times New Roman"/>
          <w:sz w:val="24"/>
          <w:szCs w:val="24"/>
        </w:rPr>
        <w:t>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58"/>
      <w:bookmarkEnd w:id="159"/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59"/>
      <w:bookmarkEnd w:id="160"/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hAnsi="Times New Roman" w:cs="Times New Roman"/>
          <w:sz w:val="24"/>
          <w:szCs w:val="24"/>
        </w:rPr>
        <w:t>Лицевые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60"/>
      <w:bookmarkEnd w:id="161"/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61"/>
      <w:bookmarkEnd w:id="162"/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>Списки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62"/>
      <w:bookmarkEnd w:id="163"/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63"/>
      <w:bookmarkEnd w:id="164"/>
      <w:r>
        <w:rPr>
          <w:rFonts w:ascii="Times New Roman" w:hAnsi="Times New Roman" w:cs="Times New Roman"/>
          <w:sz w:val="24"/>
          <w:szCs w:val="24"/>
        </w:rPr>
        <w:t xml:space="preserve">144.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64"/>
      <w:bookmarkEnd w:id="165"/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папки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</w:t>
      </w:r>
      <w:r>
        <w:rPr>
          <w:rFonts w:ascii="Times New Roman" w:hAnsi="Times New Roman" w:cs="Times New Roman"/>
          <w:sz w:val="24"/>
          <w:szCs w:val="24"/>
        </w:rPr>
        <w:t>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66" w:name="65"/>
      <w:bookmarkEnd w:id="16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оформления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66"/>
      <w:bookmarkEnd w:id="167"/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брошюровке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8" w:name="67"/>
      <w:bookmarkEnd w:id="168"/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заверителя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подшивку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обложки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68"/>
      <w:bookmarkEnd w:id="169"/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дислоцирована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загол</w:t>
      </w:r>
      <w:r>
        <w:rPr>
          <w:rFonts w:ascii="Times New Roman" w:hAnsi="Times New Roman" w:cs="Times New Roman"/>
          <w:sz w:val="24"/>
          <w:szCs w:val="24"/>
        </w:rPr>
        <w:t>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архивный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69"/>
      <w:bookmarkEnd w:id="170"/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скобках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</w:t>
      </w:r>
      <w:r>
        <w:rPr>
          <w:rFonts w:ascii="Times New Roman" w:hAnsi="Times New Roman" w:cs="Times New Roman"/>
          <w:sz w:val="24"/>
          <w:szCs w:val="24"/>
        </w:rPr>
        <w:t>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переносится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сформированному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</w:t>
      </w:r>
      <w:r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70"/>
      <w:bookmarkEnd w:id="171"/>
      <w:r>
        <w:rPr>
          <w:rFonts w:ascii="Times New Roman" w:hAnsi="Times New Roman" w:cs="Times New Roman"/>
          <w:sz w:val="24"/>
          <w:szCs w:val="24"/>
        </w:rPr>
        <w:t xml:space="preserve">150.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резолюции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фишки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меруются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мягким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графитовым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71"/>
      <w:bookmarkEnd w:id="172"/>
      <w:r>
        <w:rPr>
          <w:rFonts w:ascii="Times New Roman" w:hAnsi="Times New Roman" w:cs="Times New Roman"/>
          <w:sz w:val="24"/>
          <w:szCs w:val="24"/>
        </w:rPr>
        <w:t xml:space="preserve">151.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подшитый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диаграммы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подшитые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переплете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перенумерация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зачеркиваются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заверитель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заверитель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зачеркивается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</w:t>
      </w:r>
      <w:r>
        <w:rPr>
          <w:rFonts w:ascii="Times New Roman" w:hAnsi="Times New Roman" w:cs="Times New Roman"/>
          <w:sz w:val="24"/>
          <w:szCs w:val="24"/>
        </w:rPr>
        <w:t>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72"/>
      <w:bookmarkEnd w:id="173"/>
      <w:r>
        <w:rPr>
          <w:rFonts w:ascii="Times New Roman" w:hAnsi="Times New Roman" w:cs="Times New Roman"/>
          <w:sz w:val="24"/>
          <w:szCs w:val="24"/>
        </w:rPr>
        <w:t xml:space="preserve">152.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изъятие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отмечаются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заверителе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ссылкой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73"/>
      <w:bookmarkEnd w:id="174"/>
      <w:r>
        <w:rPr>
          <w:rFonts w:ascii="Times New Roman" w:hAnsi="Times New Roman" w:cs="Times New Roman"/>
          <w:sz w:val="24"/>
          <w:szCs w:val="24"/>
        </w:rPr>
        <w:t xml:space="preserve">153. </w:t>
      </w:r>
      <w:r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74"/>
      <w:bookmarkEnd w:id="175"/>
      <w:r>
        <w:rPr>
          <w:rFonts w:ascii="Times New Roman" w:hAnsi="Times New Roman" w:cs="Times New Roman"/>
          <w:sz w:val="24"/>
          <w:szCs w:val="24"/>
        </w:rPr>
        <w:t xml:space="preserve">154.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«Хранить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75"/>
      <w:bookmarkEnd w:id="176"/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>Архивный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76"/>
      <w:bookmarkEnd w:id="177"/>
      <w:r>
        <w:rPr>
          <w:rFonts w:ascii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подшитых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77"/>
      <w:bookmarkEnd w:id="178"/>
      <w:r>
        <w:rPr>
          <w:rFonts w:ascii="Times New Roman" w:hAnsi="Times New Roman" w:cs="Times New Roman"/>
          <w:sz w:val="24"/>
          <w:szCs w:val="24"/>
        </w:rPr>
        <w:t xml:space="preserve">157.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ценные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разновидностям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раскрываю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78"/>
      <w:bookmarkEnd w:id="179"/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подшиваются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переплетаются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сантиметра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нижней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подшивке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переплету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скрепления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булавки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скрепки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удаляются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79"/>
      <w:bookmarkEnd w:id="180"/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скоросшивателях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нумеровать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81" w:name="80"/>
      <w:bookmarkEnd w:id="18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оперативного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хранения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81"/>
      <w:bookmarkEnd w:id="182"/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82"/>
      <w:bookmarkEnd w:id="183"/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шкафах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сейфах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83"/>
      <w:bookmarkEnd w:id="184"/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корешках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84"/>
      <w:bookmarkEnd w:id="185"/>
      <w:r>
        <w:rPr>
          <w:rFonts w:ascii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асписку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85"/>
      <w:bookmarkEnd w:id="186"/>
      <w:r>
        <w:rPr>
          <w:rFonts w:ascii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hAnsi="Times New Roman" w:cs="Times New Roman"/>
          <w:sz w:val="24"/>
          <w:szCs w:val="24"/>
        </w:rPr>
        <w:t>Изъятие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изъятых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изъятии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86"/>
      <w:bookmarkEnd w:id="187"/>
      <w:r>
        <w:rPr>
          <w:rFonts w:ascii="Times New Roman" w:hAnsi="Times New Roman" w:cs="Times New Roman"/>
          <w:sz w:val="24"/>
          <w:szCs w:val="24"/>
        </w:rPr>
        <w:t xml:space="preserve">165.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расследован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88" w:name="87"/>
      <w:bookmarkEnd w:id="18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передачи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архив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88"/>
      <w:bookmarkEnd w:id="189"/>
      <w:r>
        <w:rPr>
          <w:rFonts w:ascii="Times New Roman" w:hAnsi="Times New Roman" w:cs="Times New Roman"/>
          <w:sz w:val="24"/>
          <w:szCs w:val="24"/>
        </w:rPr>
        <w:t xml:space="preserve">166.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завершенных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0" w:name="89"/>
      <w:bookmarkEnd w:id="190"/>
      <w:r>
        <w:rPr>
          <w:rFonts w:ascii="Times New Roman" w:hAnsi="Times New Roman" w:cs="Times New Roman"/>
          <w:sz w:val="24"/>
          <w:szCs w:val="24"/>
        </w:rPr>
        <w:t xml:space="preserve">167.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ременного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90"/>
      <w:bookmarkEnd w:id="191"/>
      <w:r>
        <w:rPr>
          <w:rFonts w:ascii="Times New Roman" w:hAnsi="Times New Roman" w:cs="Times New Roman"/>
          <w:sz w:val="24"/>
          <w:szCs w:val="24"/>
        </w:rPr>
        <w:t xml:space="preserve">168. </w:t>
      </w:r>
      <w:r>
        <w:rPr>
          <w:rFonts w:ascii="Times New Roman" w:hAnsi="Times New Roman" w:cs="Times New Roman"/>
          <w:sz w:val="24"/>
          <w:szCs w:val="24"/>
        </w:rPr>
        <w:t>Графы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</w:t>
      </w:r>
      <w:r>
        <w:rPr>
          <w:rFonts w:ascii="Times New Roman" w:hAnsi="Times New Roman" w:cs="Times New Roman"/>
          <w:sz w:val="24"/>
          <w:szCs w:val="24"/>
        </w:rPr>
        <w:t>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91"/>
      <w:bookmarkEnd w:id="192"/>
      <w:r>
        <w:rPr>
          <w:rFonts w:ascii="Times New Roman" w:hAnsi="Times New Roman" w:cs="Times New Roman"/>
          <w:sz w:val="24"/>
          <w:szCs w:val="24"/>
        </w:rPr>
        <w:t xml:space="preserve">169. </w:t>
      </w:r>
      <w:r>
        <w:rPr>
          <w:rFonts w:ascii="Times New Roman" w:hAnsi="Times New Roman" w:cs="Times New Roman"/>
          <w:sz w:val="24"/>
          <w:szCs w:val="24"/>
        </w:rPr>
        <w:t>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92"/>
      <w:bookmarkEnd w:id="193"/>
      <w:r>
        <w:rPr>
          <w:rFonts w:ascii="Times New Roman" w:hAnsi="Times New Roman" w:cs="Times New Roman"/>
          <w:sz w:val="24"/>
          <w:szCs w:val="24"/>
        </w:rPr>
        <w:t xml:space="preserve">170. </w:t>
      </w:r>
      <w:r>
        <w:rPr>
          <w:rFonts w:ascii="Times New Roman" w:hAnsi="Times New Roman" w:cs="Times New Roman"/>
          <w:sz w:val="24"/>
          <w:szCs w:val="24"/>
        </w:rPr>
        <w:t>Графа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«Примечание»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93"/>
      <w:bookmarkEnd w:id="194"/>
      <w:r>
        <w:rPr>
          <w:rFonts w:ascii="Times New Roman" w:hAnsi="Times New Roman" w:cs="Times New Roman"/>
          <w:sz w:val="24"/>
          <w:szCs w:val="24"/>
        </w:rPr>
        <w:t xml:space="preserve">171. </w:t>
      </w:r>
      <w:r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94"/>
      <w:bookmarkEnd w:id="195"/>
      <w:r>
        <w:rPr>
          <w:rFonts w:ascii="Times New Roman" w:hAnsi="Times New Roman" w:cs="Times New Roman"/>
          <w:sz w:val="24"/>
          <w:szCs w:val="24"/>
        </w:rPr>
        <w:t xml:space="preserve">172. </w:t>
      </w:r>
      <w:r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95"/>
      <w:bookmarkEnd w:id="196"/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96"/>
      <w:bookmarkEnd w:id="197"/>
      <w:r>
        <w:rPr>
          <w:rFonts w:ascii="Times New Roman" w:hAnsi="Times New Roman" w:cs="Times New Roman"/>
          <w:sz w:val="24"/>
          <w:szCs w:val="24"/>
        </w:rPr>
        <w:t xml:space="preserve">174.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97"/>
      <w:bookmarkEnd w:id="198"/>
      <w:r>
        <w:rPr>
          <w:rFonts w:ascii="Times New Roman" w:hAnsi="Times New Roman" w:cs="Times New Roman"/>
          <w:sz w:val="24"/>
          <w:szCs w:val="24"/>
        </w:rPr>
        <w:t xml:space="preserve">175.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оформляет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98"/>
      <w:bookmarkEnd w:id="199"/>
      <w:r>
        <w:rPr>
          <w:rFonts w:ascii="Times New Roman" w:hAnsi="Times New Roman" w:cs="Times New Roman"/>
          <w:sz w:val="24"/>
          <w:szCs w:val="24"/>
        </w:rPr>
        <w:t xml:space="preserve">176.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0" w:name="99"/>
      <w:bookmarkEnd w:id="200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расположения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реквизитов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 xml:space="preserve"> </w:t>
      </w:r>
      <w:r w:rsidR="004F20B9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523875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>
        <w:rPr>
          <w:rFonts w:ascii="Times New Roman" w:hAnsi="Times New Roman" w:cs="Times New Roman"/>
          <w:sz w:val="24"/>
          <w:szCs w:val="24"/>
        </w:rPr>
        <w:t>реги</w:t>
      </w:r>
      <w:r>
        <w:rPr>
          <w:rFonts w:ascii="Times New Roman" w:hAnsi="Times New Roman" w:cs="Times New Roman"/>
          <w:sz w:val="24"/>
          <w:szCs w:val="24"/>
        </w:rPr>
        <w:t>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>
        <w:rPr>
          <w:rFonts w:ascii="Times New Roman" w:hAnsi="Times New Roman" w:cs="Times New Roman"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10 - </w:t>
      </w:r>
      <w:r>
        <w:rPr>
          <w:rFonts w:ascii="Times New Roman" w:hAnsi="Times New Roman" w:cs="Times New Roman"/>
          <w:sz w:val="24"/>
          <w:szCs w:val="24"/>
        </w:rPr>
        <w:t>адресат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</w:t>
      </w:r>
      <w:r>
        <w:rPr>
          <w:rFonts w:ascii="Times New Roman" w:hAnsi="Times New Roman" w:cs="Times New Roman"/>
          <w:sz w:val="24"/>
          <w:szCs w:val="24"/>
        </w:rPr>
        <w:t>резолюция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14 -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15 -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16 -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18 -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19 - </w:t>
      </w:r>
      <w:r>
        <w:rPr>
          <w:rFonts w:ascii="Times New Roman" w:hAnsi="Times New Roman" w:cs="Times New Roman"/>
          <w:sz w:val="24"/>
          <w:szCs w:val="24"/>
        </w:rPr>
        <w:t>оттиск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20 -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21 -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22 -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23 - </w:t>
      </w:r>
      <w:r>
        <w:rPr>
          <w:rFonts w:ascii="Times New Roman" w:hAnsi="Times New Roman" w:cs="Times New Roman"/>
          <w:sz w:val="24"/>
          <w:szCs w:val="24"/>
        </w:rPr>
        <w:t>идентификатор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24 - </w:t>
      </w:r>
      <w:r>
        <w:rPr>
          <w:rFonts w:ascii="Times New Roman" w:hAnsi="Times New Roman" w:cs="Times New Roman"/>
          <w:sz w:val="24"/>
          <w:szCs w:val="24"/>
        </w:rPr>
        <w:t>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1" w:name="100"/>
      <w:bookmarkEnd w:id="201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tbl>
      <w:tblPr>
        <w:tblW w:w="105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97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160"/>
              <w:gridCol w:w="255"/>
              <w:gridCol w:w="4335"/>
            </w:tblGrid>
            <w:tr w:rsidR="00000000">
              <w:trPr>
                <w:jc w:val="center"/>
              </w:trPr>
              <w:tc>
                <w:tcPr>
                  <w:tcW w:w="9750" w:type="dxa"/>
                  <w:gridSpan w:val="3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Бланк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письма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9750" w:type="dxa"/>
                  <w:gridSpan w:val="3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Государственный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Герб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Республики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Казахстан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эмблема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логотип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товарный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знак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знак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обслуживания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16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Официальное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Официальное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русском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16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Справочные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данные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об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Справочные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данные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об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русском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16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___________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__________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дата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       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индекс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16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____________________________________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ссылка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номер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дату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вх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документа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25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5" w:type="dxa"/>
                  <w:vMerge w:val="restart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Адресат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16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Заголовок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тексту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письма</w:t>
                  </w:r>
                </w:p>
              </w:tc>
              <w:tc>
                <w:tcPr>
                  <w:tcW w:w="25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5" w:type="dxa"/>
                  <w:vMerge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(210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2" w:name="204"/>
      <w:bookmarkEnd w:id="202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105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97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470"/>
              <w:gridCol w:w="1035"/>
              <w:gridCol w:w="4245"/>
            </w:tblGrid>
            <w:tr w:rsidR="00000000">
              <w:trPr>
                <w:jc w:val="center"/>
              </w:trPr>
              <w:tc>
                <w:tcPr>
                  <w:tcW w:w="9750" w:type="dxa"/>
                  <w:gridSpan w:val="3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Бланк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конкретного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вида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документа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9750" w:type="dxa"/>
                  <w:gridSpan w:val="3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Государственный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Герб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Республики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Казахстан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эмблема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логотип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товарный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знак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знак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обслуживания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Официальное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Официальное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русском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вида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документа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вида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документа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русском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________________________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дата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____________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Место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издания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Место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издания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русском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lastRenderedPageBreak/>
                    <w:t>Заголовок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тексту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документа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(210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3" w:name="205"/>
      <w:bookmarkEnd w:id="203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5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000000"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97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470"/>
              <w:gridCol w:w="1035"/>
              <w:gridCol w:w="4245"/>
            </w:tblGrid>
            <w:tr w:rsidR="00000000">
              <w:trPr>
                <w:jc w:val="center"/>
              </w:trPr>
              <w:tc>
                <w:tcPr>
                  <w:tcW w:w="9750" w:type="dxa"/>
                  <w:gridSpan w:val="3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Общий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бланк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9750" w:type="dxa"/>
                  <w:gridSpan w:val="3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Государственный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Герб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Республики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Казахстан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эмблема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логотип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товарный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знак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знак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обслуживания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Официальное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Официальное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русском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дата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____________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Место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издания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казахском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Место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издания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на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русском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или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ином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языке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4470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Заголовок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тексту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документа</w:t>
                  </w:r>
                </w:p>
              </w:tc>
              <w:tc>
                <w:tcPr>
                  <w:tcW w:w="103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4" w:name="206"/>
      <w:bookmarkEnd w:id="204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ЛИСТ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СОГЛАСОВАНИЯ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заголовок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4 (210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5" w:name="207"/>
      <w:bookmarkEnd w:id="205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5"/>
        <w:gridCol w:w="1650"/>
        <w:gridCol w:w="4365"/>
      </w:tblGrid>
      <w:tr w:rsidR="00000000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БҰЙРЫҚ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4F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000000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</w:tc>
      </w:tr>
      <w:tr w:rsidR="00000000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ПРИКАЗЫВАЮ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1) 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2) 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3) 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297)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6" w:name="208"/>
      <w:bookmarkEnd w:id="20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95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80"/>
        <w:gridCol w:w="1020"/>
        <w:gridCol w:w="4140"/>
      </w:tblGrid>
      <w:tr w:rsidR="0000000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ХАТТАМА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</w:t>
            </w:r>
          </w:p>
        </w:tc>
      </w:tr>
      <w:tr w:rsidR="0000000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</w:tc>
      </w:tr>
      <w:tr w:rsidR="00000000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0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860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0000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81050" cy="1343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ДНЯ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W w:w="1032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000000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ВЫСТУПИЛИ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15906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7" w:name="209"/>
      <w:bookmarkEnd w:id="207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30"/>
        <w:gridCol w:w="1110"/>
        <w:gridCol w:w="4560"/>
      </w:tblGrid>
      <w:tr w:rsidR="00000000"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000000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</w:tc>
      </w:tr>
      <w:tr w:rsidR="00000000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F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523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="00C2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2.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3. 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_______________________________________________________________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_______________________________________________________________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297) 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8" w:name="210"/>
      <w:bookmarkEnd w:id="20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Примерный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подлежащих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документационной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службе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проспекты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плакаты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заседаниях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поздравительные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пригласительные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газеты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бюллетени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командировок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совещаний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семинаров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«Лично»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</w:t>
      </w:r>
      <w:r>
        <w:rPr>
          <w:rFonts w:ascii="Times New Roman" w:hAnsi="Times New Roman" w:cs="Times New Roman"/>
          <w:sz w:val="24"/>
          <w:szCs w:val="24"/>
        </w:rPr>
        <w:t>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9" w:name="211"/>
      <w:bookmarkEnd w:id="209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входящих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4F20B9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6619875" cy="6324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5 (148x210)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0" w:name="212"/>
      <w:bookmarkEnd w:id="210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1" w:name="213"/>
      <w:bookmarkEnd w:id="2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Журнал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входящих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1002"/>
        <w:gridCol w:w="1501"/>
        <w:gridCol w:w="1601"/>
        <w:gridCol w:w="1501"/>
        <w:gridCol w:w="1501"/>
        <w:gridCol w:w="1201"/>
        <w:gridCol w:w="1001"/>
      </w:tblGrid>
      <w:tr w:rsidR="00000000">
        <w:trPr>
          <w:trHeight w:val="2445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Корреспондент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заголовок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Резолюция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3 (420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197) 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2" w:name="214"/>
      <w:bookmarkEnd w:id="21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исходящих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внутренних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7"/>
        <w:gridCol w:w="2056"/>
        <w:gridCol w:w="1840"/>
        <w:gridCol w:w="1840"/>
        <w:gridCol w:w="1840"/>
        <w:gridCol w:w="1407"/>
      </w:tblGrid>
      <w:tr w:rsidR="00000000">
        <w:trPr>
          <w:trHeight w:val="2595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орреспондент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Заголовок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3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3" w:name="220"/>
      <w:bookmarkEnd w:id="213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4"/>
          <w:szCs w:val="24"/>
        </w:rPr>
        <w:t>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об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исполнении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подлежащих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контролю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9"/>
        <w:gridCol w:w="1720"/>
        <w:gridCol w:w="809"/>
        <w:gridCol w:w="1315"/>
        <w:gridCol w:w="1416"/>
        <w:gridCol w:w="1314"/>
        <w:gridCol w:w="1314"/>
        <w:gridCol w:w="1112"/>
      </w:tblGrid>
      <w:tr w:rsidR="00000000"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подразделений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</w:t>
            </w:r>
          </w:p>
        </w:tc>
        <w:tc>
          <w:tcPr>
            <w:tcW w:w="2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предыдущем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исполненные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просроченные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297)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4" w:name="215"/>
      <w:bookmarkEnd w:id="214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ВЕДЕНИЯ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исполнении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обращений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физических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юридических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лиц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7"/>
        <w:gridCol w:w="2332"/>
        <w:gridCol w:w="1484"/>
        <w:gridCol w:w="1804"/>
        <w:gridCol w:w="1592"/>
        <w:gridCol w:w="1061"/>
        <w:gridCol w:w="1380"/>
      </w:tblGrid>
      <w:tr w:rsidR="00000000"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подразделений</w:t>
            </w:r>
          </w:p>
        </w:tc>
        <w:tc>
          <w:tcPr>
            <w:tcW w:w="1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предыдущий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исполняются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просрочены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5" w:name="216"/>
      <w:bookmarkEnd w:id="215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6" w:name="217"/>
      <w:bookmarkEnd w:id="21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учета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выдачи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печатно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бланочной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продукции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подлежащей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защите</w:t>
      </w:r>
    </w:p>
    <w:tbl>
      <w:tblPr>
        <w:tblW w:w="11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8"/>
        <w:gridCol w:w="1023"/>
        <w:gridCol w:w="1023"/>
        <w:gridCol w:w="1023"/>
        <w:gridCol w:w="1250"/>
        <w:gridCol w:w="1023"/>
        <w:gridCol w:w="1023"/>
        <w:gridCol w:w="1023"/>
        <w:gridCol w:w="1023"/>
        <w:gridCol w:w="341"/>
        <w:gridCol w:w="341"/>
        <w:gridCol w:w="341"/>
        <w:gridCol w:w="908"/>
      </w:tblGrid>
      <w:tr w:rsidR="00000000"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</w:p>
        </w:tc>
        <w:tc>
          <w:tcPr>
            <w:tcW w:w="26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</w:t>
            </w:r>
          </w:p>
        </w:tc>
      </w:tr>
      <w:tr w:rsidR="00000000">
        <w:tblPrEx>
          <w:tblCellSpacing w:w="-8" w:type="nil"/>
        </w:tblPrEx>
        <w:trPr>
          <w:trHeight w:val="1140"/>
          <w:tblCellSpacing w:w="-8" w:type="nil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изготовителя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мпляров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бланков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выдачи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выдачу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выдано</w:t>
            </w: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экземпляров</w:t>
            </w: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бланков</w:t>
            </w: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получении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уничтожении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испорченных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экземпляров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</w:p>
        </w:tc>
      </w:tr>
      <w:tr w:rsidR="00000000">
        <w:tblPrEx>
          <w:tblCellSpacing w:w="-8" w:type="nil"/>
        </w:tblPrEx>
        <w:trPr>
          <w:trHeight w:val="2370"/>
          <w:tblCellSpacing w:w="-8" w:type="nil"/>
        </w:trPr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7" w:name="218"/>
      <w:bookmarkEnd w:id="217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8" w:name="219"/>
      <w:bookmarkEnd w:id="21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учета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выдачи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печатей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штампов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изображением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Герба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Республики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Казахстан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специальной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штемпельной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краски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9"/>
        <w:gridCol w:w="3619"/>
        <w:gridCol w:w="2464"/>
        <w:gridCol w:w="2044"/>
        <w:gridCol w:w="1204"/>
        <w:gridCol w:w="140"/>
        <w:gridCol w:w="140"/>
      </w:tblGrid>
      <w:tr w:rsidR="00000000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оттиски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штампов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3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выдано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приеме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Примечание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уничтожении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штампов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штемпел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краски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штампов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штемпельной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получении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9" w:name="221"/>
      <w:bookmarkEnd w:id="219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20" w:name="222"/>
      <w:bookmarkEnd w:id="22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учета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выдачи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перье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авторучек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заправленных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специальными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чернилами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4"/>
        <w:gridCol w:w="2674"/>
        <w:gridCol w:w="2464"/>
        <w:gridCol w:w="2149"/>
        <w:gridCol w:w="1729"/>
        <w:gridCol w:w="140"/>
        <w:gridCol w:w="140"/>
      </w:tblGrid>
      <w:tr w:rsidR="00000000"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перьевых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авторучек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чернилами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перьевых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торучек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чернилами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перьевую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авторучку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чернилами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Примечание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уничтожении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перьевой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чернилами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1" w:name="223"/>
      <w:bookmarkEnd w:id="221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sz w:val="24"/>
          <w:szCs w:val="24"/>
        </w:rPr>
        <w:t>название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5"/>
        <w:gridCol w:w="885"/>
        <w:gridCol w:w="4860"/>
      </w:tblGrid>
      <w:tr w:rsidR="0000000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передачи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бланочной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штампов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подлежащих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защите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учетных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ним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2.___________________________________________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______________________________________________________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передал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_______________________________________________________________: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Неиспользованную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подлежащую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учетных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297)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2" w:name="224"/>
      <w:bookmarkEnd w:id="22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1"/>
        <w:gridCol w:w="4909"/>
      </w:tblGrid>
      <w:tr w:rsidR="00000000">
        <w:tc>
          <w:tcPr>
            <w:tcW w:w="5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</w:tc>
      </w:tr>
      <w:tr w:rsidR="00000000">
        <w:tc>
          <w:tcPr>
            <w:tcW w:w="5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испорченных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экземпляров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подлежащей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защите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2. 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105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866"/>
              <w:gridCol w:w="3248"/>
              <w:gridCol w:w="2165"/>
              <w:gridCol w:w="2165"/>
              <w:gridCol w:w="2056"/>
            </w:tblGrid>
            <w:tr w:rsidR="00000000"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печатно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бланочной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продукции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подлежащей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номера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экземпляров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печатно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бланочной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продукции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подлежащей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оличество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экземпляров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испорченных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печатно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бланочной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продукции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подлежащей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защите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000000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00000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подписей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испорченные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297)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3" w:name="225"/>
      <w:bookmarkEnd w:id="22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</w:t>
      </w:r>
      <w:r>
        <w:rPr>
          <w:rFonts w:ascii="Times New Roman" w:hAnsi="Times New Roman" w:cs="Times New Roman"/>
          <w:color w:val="000000"/>
          <w:sz w:val="24"/>
          <w:szCs w:val="24"/>
        </w:rPr>
        <w:t>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>
        <w:rPr>
          <w:rFonts w:ascii="Courier New" w:hAnsi="Courier New" w:cs="Courier New"/>
          <w:sz w:val="24"/>
          <w:szCs w:val="24"/>
        </w:rPr>
        <w:t>название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1"/>
        <w:gridCol w:w="4909"/>
      </w:tblGrid>
      <w:tr w:rsidR="00000000">
        <w:tc>
          <w:tcPr>
            <w:tcW w:w="5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</w:tc>
      </w:tr>
      <w:tr w:rsidR="00000000">
        <w:tc>
          <w:tcPr>
            <w:tcW w:w="5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штампов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защите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2. 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105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4179"/>
              <w:gridCol w:w="2680"/>
              <w:gridCol w:w="2570"/>
            </w:tblGrid>
            <w:tr w:rsidR="00000000"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000000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00000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подписей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(210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297)  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4" w:name="230"/>
      <w:bookmarkEnd w:id="224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sz w:val="24"/>
          <w:szCs w:val="24"/>
        </w:rPr>
        <w:t>название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tbl>
      <w:tblPr>
        <w:tblW w:w="106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0"/>
        <w:gridCol w:w="4800"/>
      </w:tblGrid>
      <w:tr w:rsidR="00000000">
        <w:tc>
          <w:tcPr>
            <w:tcW w:w="5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</w:tc>
      </w:tr>
      <w:tr w:rsidR="00000000">
        <w:tc>
          <w:tcPr>
            <w:tcW w:w="5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послуживший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2. 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105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3858"/>
              <w:gridCol w:w="2680"/>
              <w:gridCol w:w="2570"/>
            </w:tblGrid>
            <w:tr w:rsidR="00000000"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000000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00000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подписей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297) 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5" w:name="226"/>
      <w:bookmarkEnd w:id="22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название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1"/>
        <w:gridCol w:w="4909"/>
      </w:tblGrid>
      <w:tr w:rsidR="00000000">
        <w:tc>
          <w:tcPr>
            <w:tcW w:w="5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5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уничтожению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неиспользо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ванной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бланочной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подлежащей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защите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1._____________________________________________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2. ____________________________________________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 __________________________________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неиспользованной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105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74"/>
              <w:gridCol w:w="2814"/>
              <w:gridCol w:w="2056"/>
              <w:gridCol w:w="2707"/>
              <w:gridCol w:w="1949"/>
            </w:tblGrid>
            <w:tr w:rsidR="00000000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печатно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бланочной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продукции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экземпляров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печатно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бланочной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продукции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Количество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неиспользованных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экземпляров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Примечание</w:t>
                  </w:r>
                </w:p>
              </w:tc>
            </w:tr>
            <w:tr w:rsidR="00000000">
              <w:tblPrEx>
                <w:tblCellSpacing w:w="-8" w:type="nil"/>
              </w:tblPrEx>
              <w:trPr>
                <w:tblCellSpacing w:w="-8" w:type="nil"/>
              </w:trPr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C23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неиспользованных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неиспользованные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________________.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297)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6" w:name="227"/>
      <w:bookmarkEnd w:id="22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НОМЕНКЛАТУРА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8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___________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 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(</w:t>
      </w:r>
      <w:r>
        <w:rPr>
          <w:rFonts w:ascii="Courier New" w:hAnsi="Courier New" w:cs="Courier New"/>
          <w:color w:val="000000"/>
          <w:sz w:val="24"/>
          <w:szCs w:val="24"/>
        </w:rPr>
        <w:t>дата</w:t>
      </w:r>
      <w:r>
        <w:rPr>
          <w:rFonts w:ascii="Courier New" w:hAnsi="Courier New" w:cs="Courier New"/>
          <w:color w:val="000000"/>
          <w:sz w:val="24"/>
          <w:szCs w:val="24"/>
        </w:rPr>
        <w:t>)         (</w:t>
      </w:r>
      <w:r>
        <w:rPr>
          <w:rFonts w:ascii="Courier New" w:hAnsi="Courier New" w:cs="Courier New"/>
          <w:color w:val="000000"/>
          <w:sz w:val="24"/>
          <w:szCs w:val="24"/>
        </w:rPr>
        <w:t>индекс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tbl>
      <w:tblPr>
        <w:tblW w:w="105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000000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52625" cy="4095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Утверждаю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должности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организации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Расшифровка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личная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подпись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подписи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Дата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8"/>
        <w:gridCol w:w="3463"/>
        <w:gridCol w:w="1840"/>
        <w:gridCol w:w="1949"/>
        <w:gridCol w:w="1840"/>
      </w:tblGrid>
      <w:tr w:rsidR="00000000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Заголовок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перечню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Примечание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Дата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подразделенийСогласована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ЦЭК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ЭПК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архивного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48"/>
        <w:gridCol w:w="2015"/>
        <w:gridCol w:w="2016"/>
        <w:gridCol w:w="2121"/>
      </w:tblGrid>
      <w:tr w:rsidR="00000000">
        <w:tc>
          <w:tcPr>
            <w:tcW w:w="2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хранения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ходящих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«ЭПК»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Постоянного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передавшего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(210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297)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7" w:name="228"/>
      <w:bookmarkEnd w:id="227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ЛИСТ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ЗАВЕРИТЕЛЬ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Фонд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 </w:t>
      </w:r>
      <w:r>
        <w:rPr>
          <w:rFonts w:ascii="Courier New" w:hAnsi="Courier New" w:cs="Courier New"/>
          <w:color w:val="000000"/>
          <w:sz w:val="24"/>
          <w:szCs w:val="24"/>
        </w:rPr>
        <w:t>Опись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 </w:t>
      </w:r>
      <w:r>
        <w:rPr>
          <w:rFonts w:ascii="Courier New" w:hAnsi="Courier New" w:cs="Courier New"/>
          <w:color w:val="000000"/>
          <w:sz w:val="24"/>
          <w:szCs w:val="24"/>
        </w:rPr>
        <w:t>Дело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дело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подшито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пронумеровано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 </w:t>
      </w:r>
      <w:r>
        <w:rPr>
          <w:rFonts w:ascii="Courier New" w:hAnsi="Courier New" w:cs="Courier New"/>
          <w:color w:val="000000"/>
          <w:sz w:val="24"/>
          <w:szCs w:val="24"/>
        </w:rPr>
        <w:t>лист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>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),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</w:t>
      </w:r>
      <w:r>
        <w:rPr>
          <w:rFonts w:ascii="Courier New" w:hAnsi="Courier New" w:cs="Courier New"/>
          <w:color w:val="000000"/>
          <w:sz w:val="24"/>
          <w:szCs w:val="24"/>
        </w:rPr>
        <w:t>ом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числе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литерные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листов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пропущенные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листов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пронумерованные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чистые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листы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+ </w:t>
      </w:r>
      <w:r>
        <w:rPr>
          <w:rFonts w:ascii="Courier New" w:hAnsi="Courier New" w:cs="Courier New"/>
          <w:color w:val="000000"/>
          <w:sz w:val="24"/>
          <w:szCs w:val="24"/>
        </w:rPr>
        <w:t>листов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внутренней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описи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Учтено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документов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виде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вложений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приложений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не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подлежащих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нумерации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(</w:t>
      </w:r>
      <w:r>
        <w:rPr>
          <w:rFonts w:ascii="Courier New" w:hAnsi="Courier New" w:cs="Courier New"/>
          <w:color w:val="000000"/>
          <w:sz w:val="24"/>
          <w:szCs w:val="24"/>
        </w:rPr>
        <w:t>разновидности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документов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их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количество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83"/>
        <w:gridCol w:w="2617"/>
      </w:tblGrid>
      <w:tr w:rsidR="00000000"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Брошюры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Листовки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Открытки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гербовые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Штемпели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Фотодокументы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гравюры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акварели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Автографы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деятелей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Склеенные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листы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Угасающий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заполнившего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заверитель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заверитель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нумерации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заверите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подшивается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заверителе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пронумерованных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плюс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заверителе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штемпели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штампы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пломбы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оттиски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автографы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фотодокументы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гравюры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акварели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крупноформатные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склеенные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наклеенными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конверты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типографские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проставляется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нумерация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невозможна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стекло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ткань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z w:val="24"/>
          <w:szCs w:val="24"/>
        </w:rPr>
        <w:t>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повреждение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подлинных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присоединение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заверителе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ссылкой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заверитель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 (210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8" w:name="101"/>
      <w:bookmarkEnd w:id="228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ВНУТРЕННЯЯ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ОПИСЬ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документов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дела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 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5"/>
        <w:gridCol w:w="1859"/>
        <w:gridCol w:w="1859"/>
        <w:gridCol w:w="2953"/>
        <w:gridCol w:w="1531"/>
        <w:gridCol w:w="1203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Заголовок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Итого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 </w:t>
      </w:r>
      <w:r>
        <w:rPr>
          <w:rFonts w:ascii="Courier New" w:hAnsi="Courier New" w:cs="Courier New"/>
          <w:color w:val="000000"/>
          <w:sz w:val="24"/>
          <w:szCs w:val="24"/>
        </w:rPr>
        <w:t>листов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документов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(</w:t>
      </w:r>
      <w:r>
        <w:rPr>
          <w:rFonts w:ascii="Courier New" w:hAnsi="Courier New" w:cs="Courier New"/>
          <w:color w:val="000000"/>
          <w:sz w:val="24"/>
          <w:szCs w:val="24"/>
        </w:rPr>
        <w:t>цифрами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прописью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Количество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листов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внутренней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описи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цифрами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прописью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Наименование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д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олжности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лица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заполнившего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внутреннюю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опись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документов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дела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hAnsi="Courier New" w:cs="Courier New"/>
          <w:color w:val="000000"/>
          <w:sz w:val="24"/>
          <w:szCs w:val="24"/>
        </w:rPr>
        <w:t>подпись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Расшифровка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Дата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Формат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4 (210 </w:t>
      </w:r>
      <w:r>
        <w:rPr>
          <w:rFonts w:ascii="Courier New" w:hAnsi="Courier New" w:cs="Courier New"/>
          <w:color w:val="000000"/>
          <w:sz w:val="24"/>
          <w:szCs w:val="24"/>
        </w:rPr>
        <w:t>Х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297)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240" w:line="240" w:lineRule="auto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9" w:name="229"/>
      <w:bookmarkEnd w:id="229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12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C237D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Опись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дел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Официальное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наименование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</w:t>
      </w:r>
      <w:r>
        <w:rPr>
          <w:rFonts w:ascii="Courier New" w:hAnsi="Courier New" w:cs="Courier New"/>
          <w:color w:val="000000"/>
          <w:sz w:val="24"/>
          <w:szCs w:val="24"/>
        </w:rPr>
        <w:t>Утверждаю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структурного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подразделения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hAnsi="Courier New" w:cs="Courier New"/>
          <w:color w:val="000000"/>
          <w:sz w:val="24"/>
          <w:szCs w:val="24"/>
        </w:rPr>
        <w:t>Наименование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должности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руководителя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</w:t>
      </w:r>
      <w:r>
        <w:rPr>
          <w:rFonts w:ascii="Courier New" w:hAnsi="Courier New" w:cs="Courier New"/>
          <w:color w:val="000000"/>
          <w:sz w:val="24"/>
          <w:szCs w:val="24"/>
        </w:rPr>
        <w:t>рганизации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структурного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подразделения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_______________ </w:t>
      </w:r>
      <w:r>
        <w:rPr>
          <w:rFonts w:ascii="Courier New" w:hAnsi="Courier New" w:cs="Courier New"/>
          <w:color w:val="000000"/>
          <w:sz w:val="24"/>
          <w:szCs w:val="24"/>
        </w:rPr>
        <w:t>Расшифровка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личная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подпись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Дата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Опись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№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_______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за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_________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год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tbl>
      <w:tblPr>
        <w:tblW w:w="105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6"/>
        <w:gridCol w:w="1517"/>
        <w:gridCol w:w="2598"/>
        <w:gridCol w:w="1623"/>
        <w:gridCol w:w="1407"/>
        <w:gridCol w:w="1407"/>
        <w:gridCol w:w="1082"/>
      </w:tblGrid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Заголовок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C2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данную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опись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внесено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 </w:t>
      </w:r>
      <w:r>
        <w:rPr>
          <w:rFonts w:ascii="Courier New" w:hAnsi="Courier New" w:cs="Courier New"/>
          <w:color w:val="000000"/>
          <w:sz w:val="24"/>
          <w:szCs w:val="24"/>
        </w:rPr>
        <w:t>дел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 </w:t>
      </w:r>
      <w:r>
        <w:rPr>
          <w:rFonts w:ascii="Courier New" w:hAnsi="Courier New" w:cs="Courier New"/>
          <w:color w:val="000000"/>
          <w:sz w:val="24"/>
          <w:szCs w:val="24"/>
        </w:rPr>
        <w:t>по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__,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цифрами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прописью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том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числе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литерные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номера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пропущенные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номера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составителя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000000" w:rsidRDefault="00C237D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архива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графу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7D2" w:rsidRDefault="00C237D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 (210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297) </w:t>
      </w:r>
    </w:p>
    <w:sectPr w:rsidR="00C237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B9"/>
    <w:rsid w:val="004F20B9"/>
    <w:rsid w:val="00C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B026F1-7594-41B0-BB7A-993BA28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pa:P060000773_#0" TargetMode="External"/><Relationship Id="rId21" Type="http://schemas.openxmlformats.org/officeDocument/2006/relationships/hyperlink" Target="npa:Z030000386_#122" TargetMode="External"/><Relationship Id="rId34" Type="http://schemas.openxmlformats.org/officeDocument/2006/relationships/hyperlink" Target="npa:V1400010129#209" TargetMode="External"/><Relationship Id="rId42" Type="http://schemas.openxmlformats.org/officeDocument/2006/relationships/hyperlink" Target="npa:V1400010129#27" TargetMode="External"/><Relationship Id="rId47" Type="http://schemas.openxmlformats.org/officeDocument/2006/relationships/hyperlink" Target="npa:V1400010129#211" TargetMode="External"/><Relationship Id="rId50" Type="http://schemas.openxmlformats.org/officeDocument/2006/relationships/hyperlink" Target="npa:V1400010129#220" TargetMode="External"/><Relationship Id="rId55" Type="http://schemas.openxmlformats.org/officeDocument/2006/relationships/hyperlink" Target="npa:V1400010129#216" TargetMode="External"/><Relationship Id="rId63" Type="http://schemas.openxmlformats.org/officeDocument/2006/relationships/hyperlink" Target="npa:V1400010129#224" TargetMode="External"/><Relationship Id="rId68" Type="http://schemas.openxmlformats.org/officeDocument/2006/relationships/hyperlink" Target="npa:V1400010129#225" TargetMode="External"/><Relationship Id="rId76" Type="http://schemas.openxmlformats.org/officeDocument/2006/relationships/hyperlink" Target="npa:V1400010129#218" TargetMode="External"/><Relationship Id="rId84" Type="http://schemas.openxmlformats.org/officeDocument/2006/relationships/hyperlink" Target="npa:V1400010129#101" TargetMode="External"/><Relationship Id="rId89" Type="http://schemas.openxmlformats.org/officeDocument/2006/relationships/image" Target="media/image2.jpeg"/><Relationship Id="rId97" Type="http://schemas.openxmlformats.org/officeDocument/2006/relationships/theme" Target="theme/theme1.xml"/><Relationship Id="rId7" Type="http://schemas.openxmlformats.org/officeDocument/2006/relationships/hyperlink" Target="npa:V1400010129#5" TargetMode="External"/><Relationship Id="rId71" Type="http://schemas.openxmlformats.org/officeDocument/2006/relationships/hyperlink" Target="npa:V1400010129#230" TargetMode="External"/><Relationship Id="rId9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npa:V1400010129#204" TargetMode="External"/><Relationship Id="rId29" Type="http://schemas.openxmlformats.org/officeDocument/2006/relationships/hyperlink" Target="npa:V1400010129#26" TargetMode="External"/><Relationship Id="rId11" Type="http://schemas.openxmlformats.org/officeDocument/2006/relationships/hyperlink" Target="npa:Z970000151_#0" TargetMode="External"/><Relationship Id="rId24" Type="http://schemas.openxmlformats.org/officeDocument/2006/relationships/hyperlink" Target="npa:V1400010129#207" TargetMode="External"/><Relationship Id="rId32" Type="http://schemas.openxmlformats.org/officeDocument/2006/relationships/hyperlink" Target="npa:V1400010129#208" TargetMode="External"/><Relationship Id="rId37" Type="http://schemas.openxmlformats.org/officeDocument/2006/relationships/hyperlink" Target="npa:V1400010129#26" TargetMode="External"/><Relationship Id="rId40" Type="http://schemas.openxmlformats.org/officeDocument/2006/relationships/hyperlink" Target="npa:V1400010129#26" TargetMode="External"/><Relationship Id="rId45" Type="http://schemas.openxmlformats.org/officeDocument/2006/relationships/hyperlink" Target="npa:V1400010129#210" TargetMode="External"/><Relationship Id="rId53" Type="http://schemas.openxmlformats.org/officeDocument/2006/relationships/hyperlink" Target="npa:V1400010129#215" TargetMode="External"/><Relationship Id="rId58" Type="http://schemas.openxmlformats.org/officeDocument/2006/relationships/hyperlink" Target="npa:V1400010129#221" TargetMode="External"/><Relationship Id="rId66" Type="http://schemas.openxmlformats.org/officeDocument/2006/relationships/hyperlink" Target="npa:V1400010129#230" TargetMode="External"/><Relationship Id="rId74" Type="http://schemas.openxmlformats.org/officeDocument/2006/relationships/hyperlink" Target="npa:V1400010129#216" TargetMode="External"/><Relationship Id="rId79" Type="http://schemas.openxmlformats.org/officeDocument/2006/relationships/hyperlink" Target="npa:V1400010129#221" TargetMode="External"/><Relationship Id="rId87" Type="http://schemas.openxmlformats.org/officeDocument/2006/relationships/hyperlink" Target="npa:V1400010129#229" TargetMode="External"/><Relationship Id="rId5" Type="http://schemas.openxmlformats.org/officeDocument/2006/relationships/hyperlink" Target="npa:Z980000326_#86" TargetMode="External"/><Relationship Id="rId61" Type="http://schemas.openxmlformats.org/officeDocument/2006/relationships/hyperlink" Target="npa:V1400010129#223" TargetMode="External"/><Relationship Id="rId82" Type="http://schemas.openxmlformats.org/officeDocument/2006/relationships/hyperlink" Target="npa:V1400010129#228" TargetMode="External"/><Relationship Id="rId90" Type="http://schemas.openxmlformats.org/officeDocument/2006/relationships/image" Target="media/image3.jpeg"/><Relationship Id="rId95" Type="http://schemas.openxmlformats.org/officeDocument/2006/relationships/image" Target="media/image8.jpeg"/><Relationship Id="rId19" Type="http://schemas.openxmlformats.org/officeDocument/2006/relationships/hyperlink" Target="npa:V1400010129#205" TargetMode="External"/><Relationship Id="rId14" Type="http://schemas.openxmlformats.org/officeDocument/2006/relationships/hyperlink" Target="npa:V1400010129#100" TargetMode="External"/><Relationship Id="rId22" Type="http://schemas.openxmlformats.org/officeDocument/2006/relationships/hyperlink" Target="npa:V1400010129#206" TargetMode="External"/><Relationship Id="rId27" Type="http://schemas.openxmlformats.org/officeDocument/2006/relationships/hyperlink" Target="npa:P060000773_#0" TargetMode="External"/><Relationship Id="rId30" Type="http://schemas.openxmlformats.org/officeDocument/2006/relationships/hyperlink" Target="npa:V1400010129#27" TargetMode="External"/><Relationship Id="rId35" Type="http://schemas.openxmlformats.org/officeDocument/2006/relationships/hyperlink" Target="npa:V1400010129#209" TargetMode="External"/><Relationship Id="rId43" Type="http://schemas.openxmlformats.org/officeDocument/2006/relationships/hyperlink" Target="npa:V1400010129#27" TargetMode="External"/><Relationship Id="rId48" Type="http://schemas.openxmlformats.org/officeDocument/2006/relationships/hyperlink" Target="npa:V1400010129#212" TargetMode="External"/><Relationship Id="rId56" Type="http://schemas.openxmlformats.org/officeDocument/2006/relationships/hyperlink" Target="npa:V1400010129#218" TargetMode="External"/><Relationship Id="rId64" Type="http://schemas.openxmlformats.org/officeDocument/2006/relationships/hyperlink" Target="npa:V1400010129#225" TargetMode="External"/><Relationship Id="rId69" Type="http://schemas.openxmlformats.org/officeDocument/2006/relationships/hyperlink" Target="npa:V1400010129#225" TargetMode="External"/><Relationship Id="rId77" Type="http://schemas.openxmlformats.org/officeDocument/2006/relationships/hyperlink" Target="npa:V1400010129#218" TargetMode="External"/><Relationship Id="rId8" Type="http://schemas.openxmlformats.org/officeDocument/2006/relationships/hyperlink" Target="npa:Z980000326_#86" TargetMode="External"/><Relationship Id="rId51" Type="http://schemas.openxmlformats.org/officeDocument/2006/relationships/hyperlink" Target="npa:V1400010129#220" TargetMode="External"/><Relationship Id="rId72" Type="http://schemas.openxmlformats.org/officeDocument/2006/relationships/hyperlink" Target="npa:V1400010129#226" TargetMode="External"/><Relationship Id="rId80" Type="http://schemas.openxmlformats.org/officeDocument/2006/relationships/hyperlink" Target="npa:V1400010129#227" TargetMode="External"/><Relationship Id="rId85" Type="http://schemas.openxmlformats.org/officeDocument/2006/relationships/hyperlink" Target="npa:V1400010129#101" TargetMode="External"/><Relationship Id="rId93" Type="http://schemas.openxmlformats.org/officeDocument/2006/relationships/image" Target="media/image6.jpeg"/><Relationship Id="rId3" Type="http://schemas.openxmlformats.org/officeDocument/2006/relationships/webSettings" Target="webSettings.xml"/><Relationship Id="rId12" Type="http://schemas.openxmlformats.org/officeDocument/2006/relationships/hyperlink" Target="npa:V1400010129#99" TargetMode="External"/><Relationship Id="rId17" Type="http://schemas.openxmlformats.org/officeDocument/2006/relationships/hyperlink" Target="npa:V1400010129#204" TargetMode="External"/><Relationship Id="rId25" Type="http://schemas.openxmlformats.org/officeDocument/2006/relationships/hyperlink" Target="npa:V1400010129#207" TargetMode="External"/><Relationship Id="rId33" Type="http://schemas.openxmlformats.org/officeDocument/2006/relationships/hyperlink" Target="npa:V1400010129#208" TargetMode="External"/><Relationship Id="rId38" Type="http://schemas.openxmlformats.org/officeDocument/2006/relationships/hyperlink" Target="npa:V1400010129#27" TargetMode="External"/><Relationship Id="rId46" Type="http://schemas.openxmlformats.org/officeDocument/2006/relationships/hyperlink" Target="npa:V1400010129#211" TargetMode="External"/><Relationship Id="rId59" Type="http://schemas.openxmlformats.org/officeDocument/2006/relationships/hyperlink" Target="npa:V1400010129#221" TargetMode="External"/><Relationship Id="rId67" Type="http://schemas.openxmlformats.org/officeDocument/2006/relationships/hyperlink" Target="npa:V1400010129#230" TargetMode="External"/><Relationship Id="rId20" Type="http://schemas.openxmlformats.org/officeDocument/2006/relationships/hyperlink" Target="npa:Z030000386_#122" TargetMode="External"/><Relationship Id="rId41" Type="http://schemas.openxmlformats.org/officeDocument/2006/relationships/hyperlink" Target="npa:V1400010129#26" TargetMode="External"/><Relationship Id="rId54" Type="http://schemas.openxmlformats.org/officeDocument/2006/relationships/hyperlink" Target="npa:V1400010129#216" TargetMode="External"/><Relationship Id="rId62" Type="http://schemas.openxmlformats.org/officeDocument/2006/relationships/hyperlink" Target="npa:V1400010129#224" TargetMode="External"/><Relationship Id="rId70" Type="http://schemas.openxmlformats.org/officeDocument/2006/relationships/hyperlink" Target="npa:V1400010129#230" TargetMode="External"/><Relationship Id="rId75" Type="http://schemas.openxmlformats.org/officeDocument/2006/relationships/hyperlink" Target="npa:V1400010129#216" TargetMode="External"/><Relationship Id="rId83" Type="http://schemas.openxmlformats.org/officeDocument/2006/relationships/hyperlink" Target="npa:V1400010129#228" TargetMode="External"/><Relationship Id="rId88" Type="http://schemas.openxmlformats.org/officeDocument/2006/relationships/image" Target="media/image1.jpeg"/><Relationship Id="rId91" Type="http://schemas.openxmlformats.org/officeDocument/2006/relationships/image" Target="media/image4.jpe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pa:V1400010129#5" TargetMode="External"/><Relationship Id="rId15" Type="http://schemas.openxmlformats.org/officeDocument/2006/relationships/hyperlink" Target="npa:V1400010129#100" TargetMode="External"/><Relationship Id="rId23" Type="http://schemas.openxmlformats.org/officeDocument/2006/relationships/hyperlink" Target="npa:V1400010129#206" TargetMode="External"/><Relationship Id="rId28" Type="http://schemas.openxmlformats.org/officeDocument/2006/relationships/hyperlink" Target="npa:V1400010129#26" TargetMode="External"/><Relationship Id="rId36" Type="http://schemas.openxmlformats.org/officeDocument/2006/relationships/hyperlink" Target="npa:V1400010129#26" TargetMode="External"/><Relationship Id="rId49" Type="http://schemas.openxmlformats.org/officeDocument/2006/relationships/hyperlink" Target="npa:V1400010129#212" TargetMode="External"/><Relationship Id="rId57" Type="http://schemas.openxmlformats.org/officeDocument/2006/relationships/hyperlink" Target="npa:V1400010129#218" TargetMode="External"/><Relationship Id="rId10" Type="http://schemas.openxmlformats.org/officeDocument/2006/relationships/hyperlink" Target="npa:Z970000151_#0" TargetMode="External"/><Relationship Id="rId31" Type="http://schemas.openxmlformats.org/officeDocument/2006/relationships/hyperlink" Target="npa:V1400010129#27" TargetMode="External"/><Relationship Id="rId44" Type="http://schemas.openxmlformats.org/officeDocument/2006/relationships/hyperlink" Target="npa:V1400010129#210" TargetMode="External"/><Relationship Id="rId52" Type="http://schemas.openxmlformats.org/officeDocument/2006/relationships/hyperlink" Target="npa:V1400010129#215" TargetMode="External"/><Relationship Id="rId60" Type="http://schemas.openxmlformats.org/officeDocument/2006/relationships/hyperlink" Target="npa:V1400010129#223" TargetMode="External"/><Relationship Id="rId65" Type="http://schemas.openxmlformats.org/officeDocument/2006/relationships/hyperlink" Target="npa:V1400010129#225" TargetMode="External"/><Relationship Id="rId73" Type="http://schemas.openxmlformats.org/officeDocument/2006/relationships/hyperlink" Target="npa:V1400010129#226" TargetMode="External"/><Relationship Id="rId78" Type="http://schemas.openxmlformats.org/officeDocument/2006/relationships/hyperlink" Target="npa:V1400010129#221" TargetMode="External"/><Relationship Id="rId81" Type="http://schemas.openxmlformats.org/officeDocument/2006/relationships/hyperlink" Target="npa:V1400010129#227" TargetMode="External"/><Relationship Id="rId86" Type="http://schemas.openxmlformats.org/officeDocument/2006/relationships/hyperlink" Target="npa:V1400010129#229" TargetMode="External"/><Relationship Id="rId94" Type="http://schemas.openxmlformats.org/officeDocument/2006/relationships/image" Target="media/image7.jpeg"/><Relationship Id="rId4" Type="http://schemas.openxmlformats.org/officeDocument/2006/relationships/hyperlink" Target="npa:Z980000326_#86" TargetMode="External"/><Relationship Id="rId9" Type="http://schemas.openxmlformats.org/officeDocument/2006/relationships/hyperlink" Target="npa:Z980000326_#86" TargetMode="External"/><Relationship Id="rId13" Type="http://schemas.openxmlformats.org/officeDocument/2006/relationships/hyperlink" Target="npa:V1400010129#99" TargetMode="External"/><Relationship Id="rId18" Type="http://schemas.openxmlformats.org/officeDocument/2006/relationships/hyperlink" Target="npa:V1400010129#205" TargetMode="External"/><Relationship Id="rId39" Type="http://schemas.openxmlformats.org/officeDocument/2006/relationships/hyperlink" Target="npa:V1400010129#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19066</Words>
  <Characters>108681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Армат Мақсотов</dc:creator>
  <cp:keywords/>
  <dc:description/>
  <cp:lastModifiedBy>Армат Мақсотов</cp:lastModifiedBy>
  <cp:revision>3</cp:revision>
  <dcterms:created xsi:type="dcterms:W3CDTF">2016-02-11T04:39:00Z</dcterms:created>
  <dcterms:modified xsi:type="dcterms:W3CDTF">2016-02-11T04:39:00Z</dcterms:modified>
</cp:coreProperties>
</file>